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E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РОССИЙСКАЯ ФЕДЕРАЦИЯ</w:t>
      </w:r>
    </w:p>
    <w:p w:rsidR="0026719D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АДМИНИСТРАЦИЯ</w:t>
      </w:r>
    </w:p>
    <w:p w:rsidR="00A4184E" w:rsidRDefault="0026719D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БОЛЬШЕДОЛЖЕНКОВСКОГО</w:t>
      </w:r>
      <w:r w:rsidR="00A4184E">
        <w:rPr>
          <w:rFonts w:eastAsia="Times New Roman"/>
          <w:b/>
          <w:kern w:val="0"/>
          <w:sz w:val="28"/>
          <w:szCs w:val="28"/>
          <w:lang w:eastAsia="ru-RU"/>
        </w:rPr>
        <w:t xml:space="preserve"> СЕЛЬСОВЕТА</w:t>
      </w:r>
    </w:p>
    <w:p w:rsidR="0026719D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ОКТЯБРЬСКОГО РАЙОНА</w:t>
      </w:r>
    </w:p>
    <w:p w:rsidR="00A4184E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КУРСКОЙ ОБЛАСТИ</w:t>
      </w:r>
    </w:p>
    <w:p w:rsidR="00A4184E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4184E" w:rsidRDefault="00A4184E" w:rsidP="00A4184E">
      <w:pPr>
        <w:pStyle w:val="a3"/>
        <w:spacing w:after="0"/>
        <w:ind w:left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 ОС Т А Н О В Л Е Н И Е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8D65BD" w:rsidP="008D65BD">
      <w:pPr>
        <w:pStyle w:val="a3"/>
        <w:spacing w:after="0"/>
        <w:ind w:left="0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4B295F">
        <w:rPr>
          <w:rFonts w:eastAsia="Times New Roman"/>
          <w:kern w:val="0"/>
          <w:sz w:val="28"/>
          <w:szCs w:val="28"/>
          <w:u w:val="single"/>
          <w:lang w:eastAsia="ru-RU"/>
        </w:rPr>
        <w:t>04.12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.2017 г № </w:t>
      </w:r>
      <w:r w:rsidR="004B295F">
        <w:rPr>
          <w:rFonts w:eastAsia="Times New Roman"/>
          <w:kern w:val="0"/>
          <w:sz w:val="28"/>
          <w:szCs w:val="28"/>
          <w:u w:val="single"/>
          <w:lang w:eastAsia="ru-RU"/>
        </w:rPr>
        <w:t>231</w:t>
      </w:r>
    </w:p>
    <w:p w:rsidR="008D65BD" w:rsidRPr="008D65BD" w:rsidRDefault="008D65BD" w:rsidP="008D65BD">
      <w:pPr>
        <w:pStyle w:val="a3"/>
        <w:spacing w:after="0"/>
        <w:ind w:left="0"/>
        <w:rPr>
          <w:rFonts w:eastAsia="Times New Roman"/>
          <w:kern w:val="0"/>
          <w:sz w:val="28"/>
          <w:szCs w:val="28"/>
          <w:u w:val="single"/>
          <w:lang w:eastAsia="ru-RU"/>
        </w:rPr>
      </w:pPr>
      <w:proofErr w:type="spellStart"/>
      <w:r>
        <w:rPr>
          <w:rFonts w:eastAsia="Times New Roman"/>
          <w:kern w:val="0"/>
          <w:sz w:val="28"/>
          <w:szCs w:val="28"/>
          <w:u w:val="single"/>
          <w:lang w:eastAsia="ru-RU"/>
        </w:rPr>
        <w:t>с.БольшоеДолженково</w:t>
      </w:r>
      <w:proofErr w:type="spellEnd"/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«</w:t>
      </w:r>
      <w:r>
        <w:rPr>
          <w:rFonts w:eastAsia="Times New Roman"/>
          <w:kern w:val="0"/>
          <w:sz w:val="28"/>
          <w:szCs w:val="28"/>
          <w:lang w:eastAsia="ru-RU"/>
        </w:rPr>
        <w:t>Об утверждении программы комплексного развития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транспортной  инфраструктуры муниципального образования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«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Большедолженковский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сельсовет» Октябрьского района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Курской области на 2017 – 2034 годы»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экологичности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работы объектов транспортной  инфраструктуры, расположенных на территории 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сельсовета Октябрьского района Курской области,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Постановлением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Администрация 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сельсовета ПОСТАНОВЛЯЕТ:</w:t>
      </w: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1. Утвердить Программу комплексного развития транспортной  инфраструктуры муниципального образования «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Большедолженковский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сельсовет» Октябрьского района Курской о</w:t>
      </w:r>
      <w:bookmarkStart w:id="0" w:name="_GoBack"/>
      <w:bookmarkEnd w:id="0"/>
      <w:r>
        <w:rPr>
          <w:rFonts w:eastAsia="Times New Roman"/>
          <w:kern w:val="0"/>
          <w:sz w:val="28"/>
          <w:szCs w:val="28"/>
          <w:lang w:eastAsia="ru-RU"/>
        </w:rPr>
        <w:t>бласти на 2017 – 2034 годы»</w:t>
      </w: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2. Контроль за исполнением настоящего постановления оставляю за собой.</w:t>
      </w:r>
    </w:p>
    <w:p w:rsidR="00A4184E" w:rsidRDefault="00A4184E" w:rsidP="004B295F">
      <w:pPr>
        <w:pStyle w:val="a3"/>
        <w:spacing w:after="0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Большедолженковский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сельсовет» Октябрьского района Курской области в сети Интернет.</w:t>
      </w: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</w:p>
    <w:p w:rsidR="00A4184E" w:rsidRDefault="00A4184E" w:rsidP="00A4184E">
      <w:pPr>
        <w:pStyle w:val="a3"/>
        <w:spacing w:after="0"/>
        <w:ind w:left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Глава  </w:t>
      </w:r>
      <w:proofErr w:type="spellStart"/>
      <w:r w:rsidR="0026719D">
        <w:rPr>
          <w:rFonts w:eastAsia="Times New Roman"/>
          <w:kern w:val="0"/>
          <w:sz w:val="28"/>
          <w:szCs w:val="28"/>
          <w:lang w:eastAsia="ru-RU"/>
        </w:rPr>
        <w:t>Большедолженковского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сельсовета</w:t>
      </w:r>
    </w:p>
    <w:p w:rsidR="00A4184E" w:rsidRDefault="00A4184E" w:rsidP="00A41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</w:t>
      </w:r>
      <w:r w:rsidR="008D65BD">
        <w:rPr>
          <w:rFonts w:ascii="Times New Roman" w:hAnsi="Times New Roman" w:cs="Times New Roman"/>
          <w:sz w:val="28"/>
          <w:szCs w:val="28"/>
        </w:rPr>
        <w:t>В.Д.Ванина</w:t>
      </w:r>
    </w:p>
    <w:p w:rsidR="00A4184E" w:rsidRDefault="008D65BD" w:rsidP="00A41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A4184E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A4184E" w:rsidRDefault="00A4184E" w:rsidP="00A41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4184E" w:rsidRDefault="00A4184E" w:rsidP="00A41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A4184E" w:rsidRDefault="00A4184E" w:rsidP="00A41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A4184E" w:rsidRDefault="00A4184E" w:rsidP="00A41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06AA">
        <w:rPr>
          <w:rFonts w:ascii="Times New Roman" w:hAnsi="Times New Roman" w:cs="Times New Roman"/>
          <w:sz w:val="24"/>
          <w:szCs w:val="24"/>
        </w:rPr>
        <w:t>04.12.2017 №231</w:t>
      </w:r>
    </w:p>
    <w:p w:rsidR="00A4184E" w:rsidRDefault="00A4184E" w:rsidP="00A418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4184E" w:rsidRDefault="00A4184E" w:rsidP="00A418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84E" w:rsidRDefault="00A4184E" w:rsidP="00A418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комплексного развития транспортной инфраструктуры муниципального образования «</w:t>
      </w:r>
      <w:proofErr w:type="spellStart"/>
      <w:r w:rsidR="0026719D">
        <w:rPr>
          <w:rFonts w:ascii="Times New Roman" w:hAnsi="Times New Roman" w:cs="Times New Roman"/>
          <w:b/>
          <w:color w:val="000000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сельсовет»</w:t>
      </w:r>
    </w:p>
    <w:p w:rsidR="00A4184E" w:rsidRDefault="00A4184E" w:rsidP="00A418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Октябрьского района  Курской области</w:t>
      </w:r>
    </w:p>
    <w:p w:rsidR="00A4184E" w:rsidRDefault="00A4184E" w:rsidP="00A418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2017 - 2034 годы</w:t>
      </w:r>
    </w:p>
    <w:p w:rsidR="00A4184E" w:rsidRDefault="00A4184E" w:rsidP="00A418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D" w:rsidRDefault="0026719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D" w:rsidRDefault="0026719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D" w:rsidRDefault="0026719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D" w:rsidRDefault="0026719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D" w:rsidRDefault="0026719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6AA" w:rsidRDefault="008506AA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6AA" w:rsidRDefault="008506AA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Паспорт</w:t>
      </w:r>
    </w:p>
    <w:p w:rsidR="00A4184E" w:rsidRDefault="00A4184E" w:rsidP="00A41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 </w:t>
      </w:r>
      <w:bookmarkStart w:id="1" w:name="sub_10"/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транспортной инфраструктуры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Октябрьского района  Курской области на 2017 - 2034 годы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ind w:firstLine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 инфраструктуры 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Октябрьского района Курской области на 2017 - 2034 годы (далее - Программа)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ind w:firstLine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A4184E" w:rsidRDefault="00A4184E">
            <w:pPr>
              <w:ind w:firstLine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Генеральный план муниципального образования «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сельсовет» Октябрьского района Курской области, утвержден Решением Собрания депутатов 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Октябрьского района Курской области.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Октябрьского района Курской области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Октябрьского района Курской области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повысить  доступность объектов транспортной инфраструктуры для населения и субъектов экономической деятельности в соответствии с нормативами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 создание условия для управления транспортным спросом;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 создание условия для пешеходного и велосипедного передвижения населения;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объектов транспортной инфраструктуры;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сбалансированное, перспективное развитие транспортной инфраструктуры;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2017 - 2034 годы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Укрупненное описание запланированных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асфальтирование населенных пунктов </w:t>
            </w:r>
            <w:proofErr w:type="spellStart"/>
            <w:r w:rsidR="0026719D">
              <w:rPr>
                <w:rFonts w:ascii="Times New Roman" w:hAnsi="Times New Roman" w:cs="Times New Roman"/>
                <w:sz w:val="24"/>
                <w:szCs w:val="24"/>
              </w:rPr>
              <w:t>Большедолженковского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с грунтовым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покрытием, замена поврежденных и установка недостающих дорожных знаков, 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улично-дорожной сети на территориях новой жилой застройки;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A4184E" w:rsidTr="00A4184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Программы составит 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в т.ч.: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 –  </w:t>
            </w:r>
            <w:r w:rsidR="008506A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 –  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–  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A4184E" w:rsidRDefault="00A4184E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 –  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A4184E" w:rsidRDefault="00A4184E">
            <w:pPr>
              <w:tabs>
                <w:tab w:val="left" w:pos="4365"/>
              </w:tabs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 –  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184E" w:rsidRDefault="00A43121">
            <w:pPr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2034 годы  –  0</w:t>
            </w:r>
            <w:r w:rsidR="00A4184E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</w:tc>
      </w:tr>
      <w:bookmarkEnd w:id="1"/>
    </w:tbl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tabs>
          <w:tab w:val="left" w:pos="0"/>
        </w:tabs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bookmarkStart w:id="2" w:name="_Toc253729757"/>
      <w:bookmarkStart w:id="3" w:name="_Toc255383196"/>
      <w:bookmarkStart w:id="4" w:name="_Toc256375542"/>
      <w:bookmarkStart w:id="5" w:name="_Toc256429331"/>
      <w:bookmarkStart w:id="6" w:name="_Toc263243176"/>
      <w:r>
        <w:rPr>
          <w:rFonts w:ascii="Times New Roman" w:eastAsia="BatangChe" w:hAnsi="Times New Roman" w:cs="Times New Roman"/>
          <w:b/>
          <w:sz w:val="24"/>
          <w:szCs w:val="24"/>
        </w:rPr>
        <w:t>Раздел 2. Характеристика существующего состояния транспортной</w:t>
      </w:r>
    </w:p>
    <w:p w:rsidR="00A4184E" w:rsidRDefault="00A4184E" w:rsidP="00A4184E">
      <w:pPr>
        <w:tabs>
          <w:tab w:val="left" w:pos="0"/>
        </w:tabs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инфраструктуры</w:t>
      </w:r>
    </w:p>
    <w:p w:rsidR="00A4184E" w:rsidRDefault="00A4184E" w:rsidP="00A4184E">
      <w:pPr>
        <w:pStyle w:val="a3"/>
        <w:tabs>
          <w:tab w:val="right" w:leader="dot" w:pos="10206"/>
        </w:tabs>
        <w:spacing w:after="0" w:line="240" w:lineRule="auto"/>
        <w:ind w:left="0" w:firstLine="567"/>
        <w:rPr>
          <w:rFonts w:eastAsia="Times New Roman"/>
          <w:b/>
          <w:color w:val="000000"/>
          <w:kern w:val="0"/>
        </w:rPr>
      </w:pPr>
    </w:p>
    <w:p w:rsidR="00A4184E" w:rsidRDefault="00A4184E" w:rsidP="00A4184E">
      <w:pPr>
        <w:pStyle w:val="a3"/>
        <w:tabs>
          <w:tab w:val="right" w:leader="dot" w:pos="10206"/>
        </w:tabs>
        <w:spacing w:after="0" w:line="240" w:lineRule="auto"/>
        <w:ind w:left="0" w:firstLine="567"/>
        <w:rPr>
          <w:rFonts w:eastAsia="Times New Roman"/>
          <w:b/>
          <w:color w:val="000000"/>
          <w:kern w:val="0"/>
        </w:rPr>
      </w:pPr>
      <w:r>
        <w:rPr>
          <w:rFonts w:eastAsia="Times New Roman"/>
          <w:b/>
          <w:color w:val="000000"/>
          <w:kern w:val="0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A4184E" w:rsidRDefault="00A4184E" w:rsidP="00A4184E">
      <w:pPr>
        <w:keepNext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26719D">
        <w:rPr>
          <w:rFonts w:ascii="Times New Roman" w:hAnsi="Times New Roman" w:cs="Times New Roman"/>
          <w:bCs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сельсовет» расположен в </w:t>
      </w:r>
      <w:r w:rsidR="008506AA">
        <w:rPr>
          <w:rFonts w:ascii="Times New Roman" w:hAnsi="Times New Roman" w:cs="Times New Roman"/>
          <w:bCs/>
          <w:sz w:val="24"/>
          <w:szCs w:val="24"/>
        </w:rPr>
        <w:t>северной части Октябрьского района .Граничит на севере с МО «</w:t>
      </w:r>
      <w:proofErr w:type="spellStart"/>
      <w:r w:rsidR="008506AA">
        <w:rPr>
          <w:rFonts w:ascii="Times New Roman" w:hAnsi="Times New Roman" w:cs="Times New Roman"/>
          <w:bCs/>
          <w:sz w:val="24"/>
          <w:szCs w:val="24"/>
        </w:rPr>
        <w:t>Старковский</w:t>
      </w:r>
      <w:proofErr w:type="spellEnd"/>
      <w:r w:rsidR="008506AA">
        <w:rPr>
          <w:rFonts w:ascii="Times New Roman" w:hAnsi="Times New Roman" w:cs="Times New Roman"/>
          <w:bCs/>
          <w:sz w:val="24"/>
          <w:szCs w:val="24"/>
        </w:rPr>
        <w:t xml:space="preserve"> сельсовет», на юге –Прямицыно, на западе-МО «</w:t>
      </w:r>
      <w:proofErr w:type="spellStart"/>
      <w:r w:rsidR="008506AA">
        <w:rPr>
          <w:rFonts w:ascii="Times New Roman" w:hAnsi="Times New Roman" w:cs="Times New Roman"/>
          <w:bCs/>
          <w:sz w:val="24"/>
          <w:szCs w:val="24"/>
        </w:rPr>
        <w:t>Дъяконовский</w:t>
      </w:r>
      <w:proofErr w:type="spellEnd"/>
      <w:r w:rsidR="008506AA">
        <w:rPr>
          <w:rFonts w:ascii="Times New Roman" w:hAnsi="Times New Roman" w:cs="Times New Roman"/>
          <w:bCs/>
          <w:sz w:val="24"/>
          <w:szCs w:val="24"/>
        </w:rPr>
        <w:t xml:space="preserve"> сельсовет» и Курчатовский район, на востоке –Курский  район ,</w:t>
      </w:r>
      <w:r>
        <w:rPr>
          <w:rFonts w:ascii="Times New Roman" w:hAnsi="Times New Roman" w:cs="Times New Roman"/>
          <w:bCs/>
          <w:sz w:val="24"/>
          <w:szCs w:val="24"/>
        </w:rPr>
        <w:t xml:space="preserve">включает в себя </w:t>
      </w:r>
      <w:r w:rsidR="008506A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населенных пунктов</w:t>
      </w:r>
      <w:r w:rsidR="008506AA">
        <w:rPr>
          <w:rFonts w:ascii="Times New Roman" w:hAnsi="Times New Roman" w:cs="Times New Roman"/>
          <w:bCs/>
          <w:sz w:val="24"/>
          <w:szCs w:val="24"/>
        </w:rPr>
        <w:t>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Территория составляет </w:t>
      </w:r>
      <w:r w:rsidR="008506AA">
        <w:rPr>
          <w:rFonts w:ascii="Times New Roman" w:hAnsi="Times New Roman" w:cs="Times New Roman"/>
          <w:sz w:val="24"/>
          <w:szCs w:val="24"/>
        </w:rPr>
        <w:t>99,6 кв.км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населением </w:t>
      </w:r>
      <w:r w:rsidR="008506AA">
        <w:rPr>
          <w:rFonts w:ascii="Times New Roman" w:hAnsi="Times New Roman" w:cs="Times New Roman"/>
          <w:bCs/>
          <w:sz w:val="24"/>
          <w:szCs w:val="24"/>
        </w:rPr>
        <w:t>1632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человека. Центр муниципального образования </w:t>
      </w:r>
      <w:proofErr w:type="spellStart"/>
      <w:r w:rsidR="008506AA">
        <w:rPr>
          <w:rFonts w:ascii="Times New Roman" w:hAnsi="Times New Roman" w:cs="Times New Roman"/>
          <w:bCs/>
          <w:sz w:val="24"/>
          <w:szCs w:val="24"/>
        </w:rPr>
        <w:t>с.БольшоеДолженково</w:t>
      </w:r>
      <w:proofErr w:type="spellEnd"/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 и границы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определены Уставом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сельсовет» Октябрьского района Курской области.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 xml:space="preserve">2.2. Социально-экономическая характеристика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E19" w:rsidRDefault="00A4184E" w:rsidP="00A4184E">
      <w:pPr>
        <w:keepNext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сельсовет» граничит </w:t>
      </w:r>
      <w:bookmarkStart w:id="7" w:name="_Toc263086798"/>
      <w:bookmarkStart w:id="8" w:name="_Toc342378308"/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C1E19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CC1E19">
        <w:rPr>
          <w:rFonts w:ascii="Times New Roman" w:hAnsi="Times New Roman" w:cs="Times New Roman"/>
          <w:bCs/>
          <w:sz w:val="24"/>
          <w:szCs w:val="24"/>
        </w:rPr>
        <w:t>Старковский</w:t>
      </w:r>
      <w:proofErr w:type="spellEnd"/>
      <w:r w:rsidR="00CC1E19">
        <w:rPr>
          <w:rFonts w:ascii="Times New Roman" w:hAnsi="Times New Roman" w:cs="Times New Roman"/>
          <w:bCs/>
          <w:sz w:val="24"/>
          <w:szCs w:val="24"/>
        </w:rPr>
        <w:t xml:space="preserve"> сельсовет», на </w:t>
      </w:r>
      <w:proofErr w:type="spellStart"/>
      <w:r w:rsidR="00CC1E19">
        <w:rPr>
          <w:rFonts w:ascii="Times New Roman" w:hAnsi="Times New Roman" w:cs="Times New Roman"/>
          <w:bCs/>
          <w:sz w:val="24"/>
          <w:szCs w:val="24"/>
        </w:rPr>
        <w:t>юге-Прямицыно,на</w:t>
      </w:r>
      <w:proofErr w:type="spellEnd"/>
      <w:r w:rsidR="00CC1E19">
        <w:rPr>
          <w:rFonts w:ascii="Times New Roman" w:hAnsi="Times New Roman" w:cs="Times New Roman"/>
          <w:bCs/>
          <w:sz w:val="24"/>
          <w:szCs w:val="24"/>
        </w:rPr>
        <w:t xml:space="preserve"> западе –МО «</w:t>
      </w:r>
      <w:proofErr w:type="spellStart"/>
      <w:r w:rsidR="00CC1E19">
        <w:rPr>
          <w:rFonts w:ascii="Times New Roman" w:hAnsi="Times New Roman" w:cs="Times New Roman"/>
          <w:bCs/>
          <w:sz w:val="24"/>
          <w:szCs w:val="24"/>
        </w:rPr>
        <w:t>Дъяконовский</w:t>
      </w:r>
      <w:proofErr w:type="spellEnd"/>
      <w:r w:rsidR="00CC1E19">
        <w:rPr>
          <w:rFonts w:ascii="Times New Roman" w:hAnsi="Times New Roman" w:cs="Times New Roman"/>
          <w:bCs/>
          <w:sz w:val="24"/>
          <w:szCs w:val="24"/>
        </w:rPr>
        <w:t xml:space="preserve"> сельсовет» и Курчатовский район, на востоке Курский район.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устройство муниципального образования. Границы муниципального образования</w:t>
      </w:r>
      <w:bookmarkEnd w:id="7"/>
      <w:bookmarkEnd w:id="8"/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2010 году в соответствии с законом Курской области « О преобразовании некоторых муниципальных образований и внесении изменений в отдельные законодательные акты Курской области»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 не преобразован путем объединения граничащих между собой муниципальных образований Октябрьского района Курской области.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входят деревни: </w:t>
      </w:r>
      <w:proofErr w:type="spellStart"/>
      <w:r w:rsidR="00CC1E19">
        <w:rPr>
          <w:rFonts w:ascii="Times New Roman" w:hAnsi="Times New Roman" w:cs="Times New Roman"/>
          <w:sz w:val="24"/>
          <w:szCs w:val="24"/>
        </w:rPr>
        <w:t>с.БольшоеДолженково</w:t>
      </w:r>
      <w:proofErr w:type="spellEnd"/>
      <w:r w:rsidR="00CC1E19">
        <w:rPr>
          <w:rFonts w:ascii="Times New Roman" w:hAnsi="Times New Roman" w:cs="Times New Roman"/>
          <w:sz w:val="24"/>
          <w:szCs w:val="24"/>
        </w:rPr>
        <w:t xml:space="preserve"> ул. Новая , д. Ванина в ее состав входят следующие улицы- </w:t>
      </w:r>
      <w:proofErr w:type="spellStart"/>
      <w:r w:rsidR="00CC1E19">
        <w:rPr>
          <w:rFonts w:ascii="Times New Roman" w:hAnsi="Times New Roman" w:cs="Times New Roman"/>
          <w:sz w:val="24"/>
          <w:szCs w:val="24"/>
        </w:rPr>
        <w:t>Комаревка</w:t>
      </w:r>
      <w:proofErr w:type="spellEnd"/>
      <w:r w:rsidR="00CC1E19">
        <w:rPr>
          <w:rFonts w:ascii="Times New Roman" w:hAnsi="Times New Roman" w:cs="Times New Roman"/>
          <w:sz w:val="24"/>
          <w:szCs w:val="24"/>
        </w:rPr>
        <w:t>, Старая, Новая ,</w:t>
      </w:r>
      <w:proofErr w:type="spellStart"/>
      <w:r w:rsidR="00CC1E19">
        <w:rPr>
          <w:rFonts w:ascii="Times New Roman" w:hAnsi="Times New Roman" w:cs="Times New Roman"/>
          <w:sz w:val="24"/>
          <w:szCs w:val="24"/>
        </w:rPr>
        <w:t>Студенная</w:t>
      </w:r>
      <w:proofErr w:type="spellEnd"/>
      <w:r w:rsidR="00CC1E19">
        <w:rPr>
          <w:rFonts w:ascii="Times New Roman" w:hAnsi="Times New Roman" w:cs="Times New Roman"/>
          <w:sz w:val="24"/>
          <w:szCs w:val="24"/>
        </w:rPr>
        <w:t xml:space="preserve">, Садовая, д.Сорокина, д.Нижняя Плаксина, д.Липина, д.Авдеева, </w:t>
      </w:r>
      <w:proofErr w:type="spellStart"/>
      <w:r w:rsidR="00CC1E19">
        <w:rPr>
          <w:rFonts w:ascii="Times New Roman" w:hAnsi="Times New Roman" w:cs="Times New Roman"/>
          <w:sz w:val="24"/>
          <w:szCs w:val="24"/>
        </w:rPr>
        <w:t>д.Верхняя</w:t>
      </w:r>
      <w:r w:rsidR="00BD05AD">
        <w:rPr>
          <w:rFonts w:ascii="Times New Roman" w:hAnsi="Times New Roman" w:cs="Times New Roman"/>
          <w:sz w:val="24"/>
          <w:szCs w:val="24"/>
        </w:rPr>
        <w:t>Горбулина</w:t>
      </w:r>
      <w:proofErr w:type="spellEnd"/>
      <w:r w:rsidR="00BD0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5AD">
        <w:rPr>
          <w:rFonts w:ascii="Times New Roman" w:hAnsi="Times New Roman" w:cs="Times New Roman"/>
          <w:sz w:val="24"/>
          <w:szCs w:val="24"/>
        </w:rPr>
        <w:t>д.НижняяГорбулина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Общая численность населения составляет </w:t>
      </w:r>
      <w:r w:rsidR="00BD05AD">
        <w:rPr>
          <w:rFonts w:ascii="Times New Roman" w:hAnsi="Times New Roman" w:cs="Times New Roman"/>
          <w:sz w:val="24"/>
          <w:szCs w:val="24"/>
        </w:rPr>
        <w:t>1632</w:t>
      </w:r>
      <w:r>
        <w:rPr>
          <w:rFonts w:ascii="Times New Roman" w:hAnsi="Times New Roman" w:cs="Times New Roman"/>
          <w:sz w:val="24"/>
          <w:szCs w:val="24"/>
        </w:rPr>
        <w:t xml:space="preserve"> человек, число дворов </w:t>
      </w:r>
      <w:r w:rsidR="00BD05AD">
        <w:rPr>
          <w:rFonts w:ascii="Times New Roman" w:hAnsi="Times New Roman" w:cs="Times New Roman"/>
          <w:sz w:val="24"/>
          <w:szCs w:val="24"/>
        </w:rPr>
        <w:t>973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- Сведения о населении муниципального образования (по населенным пунктам)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674"/>
        <w:gridCol w:w="2692"/>
        <w:gridCol w:w="1594"/>
        <w:gridCol w:w="1665"/>
        <w:gridCol w:w="1699"/>
        <w:gridCol w:w="1276"/>
      </w:tblGrid>
      <w:tr w:rsidR="00A4184E" w:rsidTr="00BD05A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ind w:right="-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</w:t>
            </w:r>
          </w:p>
          <w:p w:rsidR="00A4184E" w:rsidRDefault="00A4184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Удаленность, км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дворов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численность, домовладений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численность, чел.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районного центра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центра муниципального образования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с.БольшоеДолженково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 w:rsidP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D05AD">
              <w:rPr>
                <w:rFonts w:ascii="Times New Roman" w:hAnsi="Times New Roman" w:cs="Times New Roman"/>
                <w:sz w:val="24"/>
                <w:szCs w:val="24"/>
              </w:rPr>
              <w:t>Ванина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 w:rsidP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D05AD">
              <w:rPr>
                <w:rFonts w:ascii="Times New Roman" w:hAnsi="Times New Roman" w:cs="Times New Roman"/>
                <w:sz w:val="24"/>
                <w:szCs w:val="24"/>
              </w:rPr>
              <w:t>Липина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 w:rsidP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D05AD">
              <w:rPr>
                <w:rFonts w:ascii="Times New Roman" w:hAnsi="Times New Roman" w:cs="Times New Roman"/>
                <w:sz w:val="24"/>
                <w:szCs w:val="24"/>
              </w:rPr>
              <w:t>Адвеева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д.НижняяГорбулина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д.ВерхняяГорбулина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х.Сеймский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 w:rsidP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D05AD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4184E" w:rsidTr="00BD05AD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 w:rsidP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D05AD">
              <w:rPr>
                <w:rFonts w:ascii="Times New Roman" w:hAnsi="Times New Roman" w:cs="Times New Roman"/>
                <w:sz w:val="24"/>
                <w:szCs w:val="24"/>
              </w:rPr>
              <w:t>Нижняя Плаксина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84E" w:rsidTr="00BD05AD">
        <w:trPr>
          <w:trHeight w:val="104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B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</w:tr>
      <w:bookmarkEnd w:id="2"/>
      <w:bookmarkEnd w:id="3"/>
      <w:bookmarkEnd w:id="4"/>
      <w:bookmarkEnd w:id="5"/>
      <w:bookmarkEnd w:id="6"/>
    </w:tbl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транспортные связи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осуществляются автомобильным транспортом, обеспечивающим сообщение  муниципального образования с соседними населенными пунктами, с областным и районным административными центрами, общей транспортной сетью РФ. 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территории сельсовета проходит автомобильная дорога межмуниципального значения (19,8 км в границах поселения), а также  местные автодороги.</w:t>
      </w:r>
    </w:p>
    <w:p w:rsidR="00A4184E" w:rsidRDefault="00A4184E" w:rsidP="00A4184E">
      <w:pPr>
        <w:pStyle w:val="a3"/>
        <w:keepNext/>
        <w:widowControl w:val="0"/>
        <w:tabs>
          <w:tab w:val="left" w:pos="6390"/>
        </w:tabs>
        <w:spacing w:after="0"/>
        <w:ind w:left="0" w:right="-142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Таблица </w:t>
      </w:r>
      <w:r w:rsidR="00C06E6A">
        <w:rPr>
          <w:rFonts w:eastAsia="Times New Roman"/>
          <w:b/>
          <w:kern w:val="0"/>
          <w:lang w:eastAsia="ru-RU"/>
        </w:rPr>
        <w:fldChar w:fldCharType="begin"/>
      </w:r>
      <w:r>
        <w:rPr>
          <w:rFonts w:eastAsia="Times New Roman"/>
          <w:b/>
          <w:kern w:val="0"/>
          <w:lang w:eastAsia="ru-RU"/>
        </w:rPr>
        <w:instrText xml:space="preserve"> SEQ Таблица \* ARABIC </w:instrText>
      </w:r>
      <w:r w:rsidR="00C06E6A">
        <w:rPr>
          <w:rFonts w:eastAsia="Times New Roman"/>
          <w:b/>
          <w:kern w:val="0"/>
          <w:lang w:eastAsia="ru-RU"/>
        </w:rPr>
        <w:fldChar w:fldCharType="separate"/>
      </w:r>
      <w:r w:rsidR="00E03A03">
        <w:rPr>
          <w:rFonts w:eastAsia="Times New Roman"/>
          <w:b/>
          <w:noProof/>
          <w:kern w:val="0"/>
          <w:lang w:eastAsia="ru-RU"/>
        </w:rPr>
        <w:t>1</w:t>
      </w:r>
      <w:r w:rsidR="00C06E6A">
        <w:rPr>
          <w:rFonts w:eastAsia="Times New Roman"/>
          <w:b/>
          <w:kern w:val="0"/>
          <w:lang w:eastAsia="ru-RU"/>
        </w:rPr>
        <w:fldChar w:fldCharType="end"/>
      </w:r>
      <w:r>
        <w:rPr>
          <w:rFonts w:eastAsia="Times New Roman"/>
          <w:b/>
          <w:kern w:val="0"/>
          <w:lang w:eastAsia="ru-RU"/>
        </w:rPr>
        <w:t xml:space="preserve"> – Перечень автомобильных дорог  регионального (межмуниципального) значения, проходящих по территории </w:t>
      </w:r>
      <w:proofErr w:type="spellStart"/>
      <w:r w:rsidR="0026719D">
        <w:rPr>
          <w:rFonts w:eastAsia="Times New Roman"/>
          <w:b/>
          <w:kern w:val="0"/>
          <w:lang w:eastAsia="ru-RU"/>
        </w:rPr>
        <w:t>Большедолженковского</w:t>
      </w:r>
      <w:proofErr w:type="spellEnd"/>
      <w:r>
        <w:rPr>
          <w:rFonts w:eastAsia="Times New Roman"/>
          <w:b/>
          <w:kern w:val="0"/>
          <w:lang w:eastAsia="ru-RU"/>
        </w:rPr>
        <w:t xml:space="preserve">   сельсовета</w:t>
      </w:r>
    </w:p>
    <w:tbl>
      <w:tblPr>
        <w:tblW w:w="5000" w:type="pct"/>
        <w:tblLook w:val="04A0"/>
      </w:tblPr>
      <w:tblGrid>
        <w:gridCol w:w="3043"/>
        <w:gridCol w:w="4129"/>
        <w:gridCol w:w="2825"/>
      </w:tblGrid>
      <w:tr w:rsidR="00A4184E" w:rsidTr="00A4184E">
        <w:trPr>
          <w:trHeight w:val="84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        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4184E" w:rsidTr="00A4184E">
        <w:trPr>
          <w:trHeight w:val="489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spacing w:after="0"/>
              <w:rPr>
                <w:rFonts w:cs="Times New Roman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1F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Дъяконово-Старково-Соколовка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</w:t>
            </w:r>
          </w:p>
        </w:tc>
      </w:tr>
      <w:tr w:rsidR="00A4184E" w:rsidTr="00A4184E">
        <w:trPr>
          <w:trHeight w:val="30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протяженность автодорог общего пользования на территории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сельсовета 19,</w:t>
      </w:r>
      <w:r w:rsidR="0031569C">
        <w:rPr>
          <w:rFonts w:ascii="Times New Roman" w:hAnsi="Times New Roman" w:cs="Times New Roman"/>
          <w:sz w:val="24"/>
          <w:szCs w:val="24"/>
        </w:rPr>
        <w:t>2</w:t>
      </w:r>
      <w:r w:rsidRPr="0082397E">
        <w:rPr>
          <w:rFonts w:ascii="Times New Roman" w:hAnsi="Times New Roman" w:cs="Times New Roman"/>
          <w:sz w:val="24"/>
          <w:szCs w:val="24"/>
        </w:rPr>
        <w:t xml:space="preserve">км.  </w:t>
      </w:r>
      <w:r>
        <w:rPr>
          <w:rFonts w:ascii="Times New Roman" w:hAnsi="Times New Roman" w:cs="Times New Roman"/>
          <w:sz w:val="24"/>
          <w:szCs w:val="24"/>
        </w:rPr>
        <w:t xml:space="preserve">Асфальтобетонное покрытие имеют  не все дороги местного и регионального значения, протяженность дорог в асфальтобетоне </w:t>
      </w:r>
      <w:r w:rsidR="0082397E" w:rsidRPr="0082397E">
        <w:rPr>
          <w:rFonts w:ascii="Times New Roman" w:hAnsi="Times New Roman" w:cs="Times New Roman"/>
          <w:sz w:val="24"/>
          <w:szCs w:val="24"/>
        </w:rPr>
        <w:t>7,6</w:t>
      </w:r>
      <w:r w:rsidRPr="0082397E">
        <w:rPr>
          <w:rFonts w:ascii="Times New Roman" w:hAnsi="Times New Roman" w:cs="Times New Roman"/>
          <w:sz w:val="24"/>
          <w:szCs w:val="24"/>
        </w:rPr>
        <w:t xml:space="preserve"> км. </w:t>
      </w:r>
      <w:r>
        <w:rPr>
          <w:rFonts w:ascii="Times New Roman" w:hAnsi="Times New Roman" w:cs="Times New Roman"/>
          <w:sz w:val="24"/>
          <w:szCs w:val="24"/>
        </w:rPr>
        <w:t>Все догори местного значения относятся к IV-V категориям.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 Характеристика сети дорог поселения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Улично-дорожная сеть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улиц и дорог приняты в соответствии с классификацией, приведенной в следующей таблице.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 - Параметры улиц и дорог сельского поселения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6"/>
        <w:gridCol w:w="1990"/>
        <w:gridCol w:w="2831"/>
        <w:gridCol w:w="987"/>
        <w:gridCol w:w="990"/>
        <w:gridCol w:w="931"/>
        <w:gridCol w:w="1201"/>
        <w:gridCol w:w="33"/>
      </w:tblGrid>
      <w:tr w:rsidR="00A4184E" w:rsidTr="00A4184E">
        <w:trPr>
          <w:cantSplit/>
          <w:trHeight w:val="20"/>
          <w:tblHeader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улиц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шеходной части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туара, м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внешними дорогами общей сети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ственным центром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A4184E" w:rsidTr="00A4184E">
        <w:trPr>
          <w:gridAfter w:val="1"/>
          <w:wAfter w:w="33" w:type="dxa"/>
          <w:cantSplit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в жилой застройке: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с интенсивным движением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второстепенная (переулок)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в глубине квартала, с улицей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84E" w:rsidTr="00A4184E">
        <w:trPr>
          <w:cantSplit/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проезд, скотопро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дебным участкам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протяженность улично-дорожной сети населенных пунктов муниципального образования  около 19,</w:t>
      </w:r>
      <w:r w:rsidR="008239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км, из них с твердым покрытием </w:t>
      </w:r>
      <w:r w:rsidR="0082397E">
        <w:rPr>
          <w:rFonts w:ascii="Times New Roman" w:hAnsi="Times New Roman" w:cs="Times New Roman"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 xml:space="preserve"> км. Таким образом, основной проблемой улично-дорожной сети является низкий уровень ее благоустройства.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- Характеристика улиц населенных пунктов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сельсовет»</w:t>
      </w:r>
    </w:p>
    <w:tbl>
      <w:tblPr>
        <w:tblW w:w="9750" w:type="dxa"/>
        <w:tblLayout w:type="fixed"/>
        <w:tblLook w:val="04A0"/>
      </w:tblPr>
      <w:tblGrid>
        <w:gridCol w:w="2391"/>
        <w:gridCol w:w="2395"/>
        <w:gridCol w:w="2393"/>
        <w:gridCol w:w="18"/>
        <w:gridCol w:w="2553"/>
      </w:tblGrid>
      <w:tr w:rsidR="00A4184E" w:rsidTr="00CD5926">
        <w:trPr>
          <w:cantSplit/>
          <w:trHeight w:val="285"/>
          <w:tblHeader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улиц, км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D82810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с.БольшоеДолженково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 w:rsidP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3,</w:t>
            </w:r>
            <w:r w:rsidR="0082397E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Асфальнобетон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</w:tr>
      <w:tr w:rsidR="0082397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с.БольшоеДолженково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 w:rsidP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0,2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</w:t>
            </w:r>
            <w:r w:rsidR="00CD5926">
              <w:rPr>
                <w:rFonts w:eastAsia="Times New Roman"/>
                <w:kern w:val="0"/>
                <w:lang w:eastAsia="ru-RU"/>
              </w:rPr>
              <w:t>.Ванина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0,8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</w:tr>
      <w:tr w:rsidR="0082397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д.Ванина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3,2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 w:rsidP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</w:t>
            </w:r>
            <w:r w:rsidR="00CD5926">
              <w:rPr>
                <w:rFonts w:eastAsia="Times New Roman"/>
                <w:kern w:val="0"/>
                <w:lang w:eastAsia="ru-RU"/>
              </w:rPr>
              <w:t>Липина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3,0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д.Авдеева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1,3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82397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д.Авдеева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0,5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д.НижняяГорбулина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1,0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д.ВерхняяГорбулина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1,5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82397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97E" w:rsidRDefault="008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82397E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д.ВерхняяГорбулина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F9151A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1,0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97E" w:rsidRDefault="00F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х.Сеймский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 w:rsidP="00F9151A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F9151A">
              <w:rPr>
                <w:rFonts w:eastAsia="Times New Roman"/>
                <w:kern w:val="0"/>
                <w:lang w:eastAsia="ru-RU"/>
              </w:rPr>
              <w:t>,1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д.Сорокина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 w:rsidP="00F9151A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1,</w:t>
            </w:r>
            <w:r w:rsidR="00F9151A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CD5926">
            <w:pPr>
              <w:pStyle w:val="a3"/>
              <w:spacing w:after="0"/>
              <w:ind w:left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д.Нижняя Плаксина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F9151A">
            <w:pPr>
              <w:pStyle w:val="a3"/>
              <w:spacing w:after="0"/>
              <w:ind w:left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0,8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A4184E" w:rsidTr="00CD5926">
        <w:trPr>
          <w:cantSplit/>
          <w:trHeight w:val="285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4E" w:rsidRDefault="00A4184E" w:rsidP="00F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F91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протяженность улиц населенных пунктов муниципального образования равна 19,</w:t>
      </w:r>
      <w:r w:rsidR="00F91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км. Основная часть улиц не имеет твердого покрытия (асфальтированные участки дороги есть </w:t>
      </w:r>
      <w:r w:rsidR="00C35B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35BCF">
        <w:rPr>
          <w:rFonts w:ascii="Times New Roman" w:hAnsi="Times New Roman" w:cs="Times New Roman"/>
          <w:sz w:val="24"/>
          <w:szCs w:val="24"/>
        </w:rPr>
        <w:t>с.БольшоеДолженково,д.Ванина</w:t>
      </w:r>
      <w:r w:rsidR="00B02C8F">
        <w:rPr>
          <w:rFonts w:ascii="Times New Roman" w:hAnsi="Times New Roman" w:cs="Times New Roman"/>
          <w:sz w:val="24"/>
          <w:szCs w:val="24"/>
        </w:rPr>
        <w:t>,д.Авдеева,д.НижняяГорбулина</w:t>
      </w:r>
      <w:proofErr w:type="spellEnd"/>
      <w:r w:rsidR="00B02C8F">
        <w:rPr>
          <w:rFonts w:ascii="Times New Roman" w:hAnsi="Times New Roman" w:cs="Times New Roman"/>
          <w:sz w:val="24"/>
          <w:szCs w:val="24"/>
        </w:rPr>
        <w:t xml:space="preserve">, </w:t>
      </w:r>
      <w:r w:rsidR="00C35BC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35BCF">
        <w:rPr>
          <w:rFonts w:ascii="Times New Roman" w:hAnsi="Times New Roman" w:cs="Times New Roman"/>
          <w:sz w:val="24"/>
          <w:szCs w:val="24"/>
        </w:rPr>
        <w:t>д.ВерхняяГорбулина,х.Семский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Имеющиеся твердое покрытие требуют капит</w:t>
      </w:r>
      <w:r w:rsidR="00C35BCF">
        <w:rPr>
          <w:rFonts w:ascii="Times New Roman" w:hAnsi="Times New Roman" w:cs="Times New Roman"/>
          <w:sz w:val="24"/>
          <w:szCs w:val="24"/>
        </w:rPr>
        <w:t xml:space="preserve">ального ремонта и реконструкции </w:t>
      </w:r>
      <w:proofErr w:type="spellStart"/>
      <w:r w:rsidR="00C35BCF">
        <w:rPr>
          <w:rFonts w:ascii="Times New Roman" w:hAnsi="Times New Roman" w:cs="Times New Roman"/>
          <w:sz w:val="24"/>
          <w:szCs w:val="24"/>
        </w:rPr>
        <w:t>с.БольшоеДолженковоул.Новая</w:t>
      </w:r>
      <w:proofErr w:type="spellEnd"/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в сельсовете  существует проблема низкого уровня благоустройства улично-дорожной сети.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используется  105 единиц автотранспорта, из них </w:t>
      </w:r>
    </w:p>
    <w:p w:rsidR="00A4184E" w:rsidRDefault="00A4184E" w:rsidP="00A418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51A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единиц легкового автотранспорта ;</w:t>
      </w:r>
    </w:p>
    <w:p w:rsidR="00A4184E" w:rsidRDefault="00A4184E" w:rsidP="00A418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- 14 единиц грузовой автотранспорт;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9151A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единиц трактора.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Парковок (парковочных мест) на территории поселения не имеется и строительство не планируется.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время сезонных полевых работ движения автотранспорта увеличивается за счет проезда сельскохозяйственной деятельности на 1</w:t>
      </w:r>
      <w:r>
        <w:rPr>
          <w:rFonts w:ascii="Times New Roman" w:hAnsi="Times New Roman" w:cs="Times New Roman"/>
          <w:color w:val="FF0000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праздничные и выходные дни за счет притока иногороднего транспорта движения легкового автотранспорта увеличивается на </w:t>
      </w:r>
      <w:r>
        <w:rPr>
          <w:rFonts w:ascii="Times New Roman" w:hAnsi="Times New Roman" w:cs="Times New Roman"/>
          <w:color w:val="FF0000"/>
          <w:sz w:val="24"/>
          <w:szCs w:val="24"/>
        </w:rPr>
        <w:t>25% 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 Характеристика работы транспортных средств общего пользования, включая анализ пассажиропотока</w:t>
      </w:r>
    </w:p>
    <w:p w:rsidR="00A4184E" w:rsidRDefault="00A4184E" w:rsidP="00A4184E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Автомобильным транспортом осуществляются как пассажирские, так и грузоперевозки.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проходит пассажир</w:t>
      </w:r>
      <w:r w:rsidR="000B56C1">
        <w:rPr>
          <w:rFonts w:ascii="Times New Roman" w:hAnsi="Times New Roman" w:cs="Times New Roman"/>
          <w:sz w:val="24"/>
          <w:szCs w:val="24"/>
        </w:rPr>
        <w:t>ски</w:t>
      </w:r>
      <w:r w:rsidR="00F9151A">
        <w:rPr>
          <w:rFonts w:ascii="Times New Roman" w:hAnsi="Times New Roman" w:cs="Times New Roman"/>
          <w:sz w:val="24"/>
          <w:szCs w:val="24"/>
        </w:rPr>
        <w:t>й автобусный маршрут «Курск-Победа</w:t>
      </w:r>
      <w:r>
        <w:rPr>
          <w:rFonts w:ascii="Times New Roman" w:hAnsi="Times New Roman" w:cs="Times New Roman"/>
          <w:sz w:val="24"/>
          <w:szCs w:val="24"/>
        </w:rPr>
        <w:t xml:space="preserve">». Автобусы курсируют семь дней в неделю с периодичностью 3 раз в день.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самих населенных пунктах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пассажирские перевозки не осуществляются.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Железнодорожных линий, пересекающих территорию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сельсовета, нет.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предложения</w:t>
      </w:r>
    </w:p>
    <w:p w:rsidR="00A4184E" w:rsidRDefault="00A4184E" w:rsidP="00A4184E">
      <w:pPr>
        <w:pStyle w:val="a3"/>
        <w:keepNext/>
        <w:keepLines/>
        <w:spacing w:after="0"/>
        <w:ind w:left="0" w:firstLine="851"/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На расчетный срок генерального плана внешние связи поселения будут обеспечиваться, как и в настоящее время, автомобильным транспортом.  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принципами развития транспортной системы должны стать:</w:t>
      </w:r>
    </w:p>
    <w:p w:rsidR="00A4184E" w:rsidRDefault="00A4184E" w:rsidP="00A4184E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A4184E" w:rsidRDefault="00A4184E" w:rsidP="00A4184E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A4184E" w:rsidRDefault="00A4184E" w:rsidP="00A4184E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мобильности населения как фактора экономического развития.</w:t>
      </w:r>
    </w:p>
    <w:p w:rsidR="00A4184E" w:rsidRDefault="00A4184E" w:rsidP="00A4184E">
      <w:pPr>
        <w:pStyle w:val="a3"/>
        <w:widowControl w:val="0"/>
        <w:spacing w:after="0"/>
        <w:ind w:left="0"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Основные принципы развития транспортного комплекса муниципального образования «</w:t>
      </w:r>
      <w:proofErr w:type="spellStart"/>
      <w:r w:rsidR="0026719D">
        <w:rPr>
          <w:rFonts w:eastAsia="Times New Roman"/>
          <w:kern w:val="0"/>
          <w:lang w:eastAsia="ru-RU"/>
        </w:rPr>
        <w:t>Большедолженковский</w:t>
      </w:r>
      <w:proofErr w:type="spellEnd"/>
      <w:r>
        <w:rPr>
          <w:rFonts w:eastAsia="Times New Roman"/>
          <w:kern w:val="0"/>
          <w:lang w:eastAsia="ru-RU"/>
        </w:rPr>
        <w:t xml:space="preserve">   сельсовет»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A4184E" w:rsidRDefault="00A4184E" w:rsidP="00A4184E">
      <w:pPr>
        <w:pStyle w:val="a3"/>
        <w:widowControl w:val="0"/>
        <w:spacing w:after="0"/>
        <w:ind w:left="0"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Реализация вышеуказанных мероприятий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</w:t>
      </w:r>
      <w:r>
        <w:rPr>
          <w:rFonts w:eastAsia="Times New Roman"/>
          <w:kern w:val="0"/>
          <w:lang w:eastAsia="ru-RU"/>
        </w:rPr>
        <w:lastRenderedPageBreak/>
        <w:t>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A4184E" w:rsidRDefault="00A4184E" w:rsidP="00A4184E">
      <w:pPr>
        <w:pStyle w:val="a3"/>
        <w:widowControl w:val="0"/>
        <w:spacing w:after="0"/>
        <w:ind w:left="0"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Часть автомобильных дорог, расположенная в долинах водных объектов, вследствие воздействия, не регулируемого поверхностного стока, грунтовых вод, требует текущего и капитального ремонта.</w:t>
      </w:r>
    </w:p>
    <w:p w:rsidR="00A4184E" w:rsidRDefault="00A4184E" w:rsidP="00A4184E">
      <w:pPr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Генеральным планом на расчетный срок предлагается:</w:t>
      </w:r>
    </w:p>
    <w:p w:rsidR="00A4184E" w:rsidRDefault="00A4184E" w:rsidP="00A4184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межмуниципальных автодорог, проходящих по территории сельсовета;</w:t>
      </w:r>
    </w:p>
    <w:p w:rsidR="00A4184E" w:rsidRDefault="00A4184E" w:rsidP="00A4184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асфальтирование местных автомобильных дорог с грунтовым покрытием;</w:t>
      </w:r>
    </w:p>
    <w:p w:rsidR="00A4184E" w:rsidRDefault="00A4184E" w:rsidP="00A4184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мостовых сооружений, расположенных на территории муниципального образования;</w:t>
      </w:r>
    </w:p>
    <w:p w:rsidR="00A4184E" w:rsidRDefault="00A4184E" w:rsidP="00A4184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A4184E" w:rsidRDefault="00A4184E" w:rsidP="00A4184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 Характеристика условий пешеходного и велосипедного передвижения</w:t>
      </w:r>
    </w:p>
    <w:p w:rsidR="00A4184E" w:rsidRDefault="00A4184E" w:rsidP="00A4184E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 отведенных пешеходных дорожек на территории муниципального образования не имеется.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Специально отведенных  велосипедных дорожек нет. Движение  велосипедного  транспорта производится по проезжей части.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A4184E" w:rsidRDefault="00A4184E" w:rsidP="00A4184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в поселении нет. Вывоз ТБО с территории муниципального образования не осуществляется.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Анализ уровня безопасности дорожного движения;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Обстановка с аварийностью на территории </w:t>
      </w:r>
      <w:proofErr w:type="spellStart"/>
      <w:r w:rsidR="0026719D">
        <w:rPr>
          <w:rFonts w:ascii="Times New Roman" w:hAnsi="Times New Roman" w:cs="Times New Roman"/>
          <w:sz w:val="24"/>
          <w:szCs w:val="24"/>
          <w:lang w:eastAsia="en-US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сельсовета остается сложной. Общее количество ДТП на территории поселения - </w:t>
      </w:r>
      <w:r w:rsidR="004923AF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>. Число погибших в аварии людей -</w:t>
      </w:r>
      <w:r w:rsidR="004923AF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>. Число получивших ранения –0.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widowControl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Поступление в атмосферу загрязняющих веществ в поселении обусловлено возросшим за последние годы количеством автотранспорта. 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 xml:space="preserve">По результатам исследований атмосферного воздуха в </w:t>
      </w:r>
      <w:proofErr w:type="spellStart"/>
      <w:r w:rsidR="003C7310"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>Большедолженковском</w:t>
      </w:r>
      <w:proofErr w:type="spellEnd"/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en-US"/>
        </w:rPr>
        <w:t xml:space="preserve">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первую очередьсуществующих условий и перспектив развития и размещения транспортной инфраструктуры сельсовета  предлагается: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дорожных искусственных сооружений, расположенных на территории муниципального образования.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Строительство, текущий и капитальный ремонт дорог местного значения.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вышеуказанных мероприятий 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функционирования и развития транспортной инфраструктуры 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 имеется следующая нормативная  правовая база.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Генеральный план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области, утвержден Решением Собрания депутатов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от  </w:t>
      </w:r>
      <w:r w:rsidR="006E3C8C">
        <w:rPr>
          <w:rFonts w:ascii="Times New Roman" w:hAnsi="Times New Roman" w:cs="Times New Roman"/>
          <w:sz w:val="24"/>
          <w:szCs w:val="24"/>
        </w:rPr>
        <w:t>26.06</w:t>
      </w:r>
      <w:r>
        <w:rPr>
          <w:rFonts w:ascii="Times New Roman" w:hAnsi="Times New Roman" w:cs="Times New Roman"/>
          <w:sz w:val="24"/>
          <w:szCs w:val="24"/>
        </w:rPr>
        <w:t>.2013года №</w:t>
      </w:r>
      <w:r w:rsidR="006E3C8C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Генерального плана МО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области»;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Правила землепользования и застройки территории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утверждены Решением Собрания депутатов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№</w:t>
      </w:r>
      <w:r w:rsidR="006E3C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E3C8C">
        <w:rPr>
          <w:rFonts w:ascii="Times New Roman" w:hAnsi="Times New Roman" w:cs="Times New Roman"/>
          <w:sz w:val="24"/>
          <w:szCs w:val="24"/>
        </w:rPr>
        <w:t>27.04.2012</w:t>
      </w:r>
      <w:r>
        <w:rPr>
          <w:rFonts w:ascii="Times New Roman" w:hAnsi="Times New Roman" w:cs="Times New Roman"/>
          <w:sz w:val="24"/>
          <w:szCs w:val="24"/>
        </w:rPr>
        <w:t>г. «Об утверждении правил землепользования и застройки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области».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функционирования и развития транспортной инфраструктуры муниципального образования 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 необходимо постоянно актуализировать  и дополнять нормативно правовую базу.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 Оценка финансирования транспортной инфраструктуры.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184E" w:rsidRDefault="00A4184E" w:rsidP="00A41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финансирования муниципального образования достаточно низкий. Денежных средств за последние 5 лет на финансирование транспортной инфраструктуры  в бюджете муниципального образования «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 предусматривалось.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Прогноз социально-экономического и градостроительного развития поселения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1989-2012 гг. демографическая динамика была </w:t>
      </w:r>
      <w:r w:rsidR="00FA0837">
        <w:rPr>
          <w:rFonts w:ascii="Times New Roman" w:hAnsi="Times New Roman" w:cs="Times New Roman"/>
          <w:sz w:val="24"/>
          <w:szCs w:val="24"/>
        </w:rPr>
        <w:t>положительная</w:t>
      </w:r>
      <w:r>
        <w:rPr>
          <w:rFonts w:ascii="Times New Roman" w:hAnsi="Times New Roman" w:cs="Times New Roman"/>
          <w:sz w:val="24"/>
          <w:szCs w:val="24"/>
        </w:rPr>
        <w:t xml:space="preserve"> Общая </w:t>
      </w:r>
      <w:r w:rsidR="00FA0837">
        <w:rPr>
          <w:rFonts w:ascii="Times New Roman" w:hAnsi="Times New Roman" w:cs="Times New Roman"/>
          <w:sz w:val="24"/>
          <w:szCs w:val="24"/>
        </w:rPr>
        <w:t>прибыль</w:t>
      </w:r>
      <w:r>
        <w:rPr>
          <w:rFonts w:ascii="Times New Roman" w:hAnsi="Times New Roman" w:cs="Times New Roman"/>
          <w:sz w:val="24"/>
          <w:szCs w:val="24"/>
        </w:rPr>
        <w:t xml:space="preserve"> населения складывалась из естественной </w:t>
      </w:r>
      <w:r w:rsidR="00FA0837">
        <w:rPr>
          <w:rFonts w:ascii="Times New Roman" w:hAnsi="Times New Roman" w:cs="Times New Roman"/>
          <w:sz w:val="24"/>
          <w:szCs w:val="24"/>
        </w:rPr>
        <w:t>прибыли</w:t>
      </w:r>
      <w:r>
        <w:rPr>
          <w:rFonts w:ascii="Times New Roman" w:hAnsi="Times New Roman" w:cs="Times New Roman"/>
          <w:sz w:val="24"/>
          <w:szCs w:val="24"/>
        </w:rPr>
        <w:t>(</w:t>
      </w:r>
      <w:r w:rsidR="00FA0837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 xml:space="preserve"> родившихся) и миграционного сальдо. Всего за исследуемый период  население сельсовета </w:t>
      </w:r>
      <w:r w:rsidR="00FA0837">
        <w:rPr>
          <w:rFonts w:ascii="Times New Roman" w:hAnsi="Times New Roman" w:cs="Times New Roman"/>
          <w:sz w:val="24"/>
          <w:szCs w:val="24"/>
        </w:rPr>
        <w:t>увеличилось  на 8,0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4184E" w:rsidRDefault="00A4184E" w:rsidP="00A4184E">
      <w:pPr>
        <w:pStyle w:val="a3"/>
        <w:keepNext/>
        <w:keepLines/>
        <w:widowControl w:val="0"/>
        <w:spacing w:after="0" w:line="240" w:lineRule="auto"/>
        <w:ind w:left="0"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Анализ современной ситуации выявил основные направления демографических процессов в </w:t>
      </w:r>
      <w:proofErr w:type="spellStart"/>
      <w:r w:rsidR="00C9115E">
        <w:rPr>
          <w:rFonts w:eastAsia="Times New Roman"/>
          <w:kern w:val="0"/>
          <w:lang w:eastAsia="ru-RU"/>
        </w:rPr>
        <w:t>Большедолженковском</w:t>
      </w:r>
      <w:proofErr w:type="spellEnd"/>
      <w:r>
        <w:rPr>
          <w:rFonts w:eastAsia="Times New Roman"/>
          <w:kern w:val="0"/>
          <w:lang w:eastAsia="ru-RU"/>
        </w:rPr>
        <w:t xml:space="preserve"> сельсовете - </w:t>
      </w:r>
      <w:r w:rsidR="00BD6811">
        <w:rPr>
          <w:rFonts w:eastAsia="Times New Roman"/>
          <w:kern w:val="0"/>
          <w:lang w:eastAsia="ru-RU"/>
        </w:rPr>
        <w:t>увеличение</w:t>
      </w:r>
      <w:r>
        <w:rPr>
          <w:rFonts w:eastAsia="Times New Roman"/>
          <w:kern w:val="0"/>
          <w:lang w:eastAsia="ru-RU"/>
        </w:rPr>
        <w:t xml:space="preserve"> численности населения. </w:t>
      </w:r>
    </w:p>
    <w:p w:rsidR="00A4184E" w:rsidRDefault="00A4184E" w:rsidP="00A4184E">
      <w:pPr>
        <w:pStyle w:val="a3"/>
        <w:widowControl w:val="0"/>
        <w:spacing w:after="0" w:line="240" w:lineRule="auto"/>
        <w:ind w:left="0"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Современные демографические характеристики позволяют сделать прогноз изменения численности на перспективу.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рассчитывается с учетом демографических показателей, сложившихся за последние годы в населенных пунктах муниципального образования, согласно существующей методике по формуле:</w:t>
      </w:r>
    </w:p>
    <w:p w:rsidR="00A4184E" w:rsidRDefault="00A4184E" w:rsidP="00A4184E">
      <w:pPr>
        <w:widowControl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332723997"/>
      <w:bookmarkStart w:id="10" w:name="_Toc332364306"/>
      <w:r>
        <w:rPr>
          <w:rFonts w:ascii="Times New Roman" w:hAnsi="Times New Roman" w:cs="Times New Roman"/>
          <w:sz w:val="24"/>
          <w:szCs w:val="24"/>
        </w:rPr>
        <w:t>Но = Нс (1 + О/100)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9"/>
      <w:bookmarkEnd w:id="10"/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 Но – ожидаемая численность населения на расчетный год,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 – существующая численность населения,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среднегодовой общий прирост,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число лет расчетного срока.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перспективного изменения численности населения в достаточно широком временном диапазоне (до 2033 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поливариантности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дальнейшего социально-экономического развития территории. 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Расчетная численность населения и половозрастной состав населения были определены на две даты: на 01.01.2019 г. (первая очередь генерального плана) и на 01.01.2034 г. (расчетный срок).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«Инновационный» сценарий основан на росте числа жителей поселения  за счет повышения уровня рождаемости, снижения смертности, миграционного оттока населения.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расчета ожидаемой численности населения и результаты этого расчета представлены в таблице.</w:t>
      </w:r>
    </w:p>
    <w:p w:rsidR="00A4184E" w:rsidRDefault="00A4184E" w:rsidP="00A4184E">
      <w:pPr>
        <w:pStyle w:val="a3"/>
        <w:keepNext/>
        <w:tabs>
          <w:tab w:val="left" w:pos="6390"/>
        </w:tabs>
        <w:spacing w:after="0"/>
        <w:ind w:left="0" w:right="-142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Таблица </w:t>
      </w:r>
      <w:r w:rsidR="00C06E6A">
        <w:rPr>
          <w:rFonts w:eastAsia="Times New Roman"/>
          <w:b/>
          <w:kern w:val="0"/>
          <w:lang w:eastAsia="ru-RU"/>
        </w:rPr>
        <w:fldChar w:fldCharType="begin"/>
      </w:r>
      <w:r>
        <w:rPr>
          <w:rFonts w:eastAsia="Times New Roman"/>
          <w:b/>
          <w:kern w:val="0"/>
          <w:lang w:eastAsia="ru-RU"/>
        </w:rPr>
        <w:instrText xml:space="preserve"> SEQ Таблица \* ARABIC </w:instrText>
      </w:r>
      <w:r w:rsidR="00C06E6A">
        <w:rPr>
          <w:rFonts w:eastAsia="Times New Roman"/>
          <w:b/>
          <w:kern w:val="0"/>
          <w:lang w:eastAsia="ru-RU"/>
        </w:rPr>
        <w:fldChar w:fldCharType="separate"/>
      </w:r>
      <w:r w:rsidR="00E03A03">
        <w:rPr>
          <w:rFonts w:eastAsia="Times New Roman"/>
          <w:b/>
          <w:noProof/>
          <w:kern w:val="0"/>
          <w:lang w:eastAsia="ru-RU"/>
        </w:rPr>
        <w:t>2</w:t>
      </w:r>
      <w:r w:rsidR="00C06E6A">
        <w:rPr>
          <w:rFonts w:eastAsia="Times New Roman"/>
          <w:b/>
          <w:kern w:val="0"/>
          <w:lang w:eastAsia="ru-RU"/>
        </w:rPr>
        <w:fldChar w:fldCharType="end"/>
      </w:r>
      <w:r>
        <w:rPr>
          <w:rFonts w:eastAsia="Times New Roman"/>
          <w:b/>
          <w:kern w:val="0"/>
          <w:lang w:eastAsia="ru-RU"/>
        </w:rPr>
        <w:t xml:space="preserve"> – Данные для расчета ожидаемой численности населения и результаты этого расчета </w:t>
      </w:r>
    </w:p>
    <w:tbl>
      <w:tblPr>
        <w:tblW w:w="5000" w:type="pct"/>
        <w:tblLook w:val="04A0"/>
      </w:tblPr>
      <w:tblGrid>
        <w:gridCol w:w="5225"/>
        <w:gridCol w:w="2225"/>
        <w:gridCol w:w="2547"/>
      </w:tblGrid>
      <w:tr w:rsidR="00A4184E" w:rsidTr="00A4184E">
        <w:trPr>
          <w:trHeight w:val="255"/>
        </w:trPr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4184E" w:rsidTr="00A4184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инерционный сценарий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сценарий</w:t>
            </w:r>
          </w:p>
        </w:tc>
      </w:tr>
      <w:tr w:rsidR="00A4184E" w:rsidTr="00A4184E">
        <w:trPr>
          <w:trHeight w:val="51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момент проектирования, чел. (на 01.01.2014 г.)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</w:tr>
      <w:tr w:rsidR="00A4184E" w:rsidTr="00A4184E">
        <w:trPr>
          <w:trHeight w:val="255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общий прирост населения, %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4184E" w:rsidTr="00A4184E">
        <w:trPr>
          <w:trHeight w:val="255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первой очереди, лет (с 2014 года)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84E" w:rsidTr="00A4184E">
        <w:trPr>
          <w:trHeight w:val="255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срок, лет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184E" w:rsidTr="00A4184E">
        <w:trPr>
          <w:trHeight w:val="51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численность населения на 01.01.2019 г., чел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A4184E" w:rsidTr="00A4184E">
        <w:trPr>
          <w:trHeight w:val="51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численность населения на 01.01.2034 г., чел.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4184E" w:rsidTr="00A4184E">
        <w:trPr>
          <w:trHeight w:val="51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прирост (убыль) населения с 2014 по 2033 г., чел.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184E" w:rsidTr="00A4184E">
        <w:trPr>
          <w:trHeight w:val="51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 прирост (убыль) населения с 2014 по 2033 г., %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6E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Инерционный сценарий прогноза показывает, что к 2033 году число жителей поселения достигнет </w:t>
      </w:r>
      <w:r w:rsidR="00BD6811">
        <w:rPr>
          <w:rFonts w:ascii="Times New Roman" w:hAnsi="Times New Roman" w:cs="Times New Roman"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BD6811">
        <w:rPr>
          <w:rFonts w:ascii="Times New Roman" w:hAnsi="Times New Roman" w:cs="Times New Roman"/>
          <w:sz w:val="24"/>
          <w:szCs w:val="24"/>
        </w:rPr>
        <w:t>.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численности населения по инновационному сценарию выполнен с ориентацией на стабилизацию в ближайшие годы социально-демографической ситуации в стране и регионе. При данном сценарии ежегодный общий среднегодовой прирост населения планируется на уровне 0,5%. Таким образом, число жителей сельсовета будет возрастать (на 10,9% за 20 лет).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дальнейших расчетов в генеральном плане численность населения принимается по инновационному сценарию, согласно которому число жителей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к 2034 году составит </w:t>
      </w:r>
      <w:r w:rsidR="00BD6811">
        <w:rPr>
          <w:rFonts w:ascii="Times New Roman" w:hAnsi="Times New Roman" w:cs="Times New Roman"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 xml:space="preserve"> чел.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очередь (01.01.2019 г.), принимая во внимание существующее положение, численность населения принимается равной</w:t>
      </w:r>
      <w:r w:rsidR="00BD6811">
        <w:rPr>
          <w:rFonts w:ascii="Times New Roman" w:hAnsi="Times New Roman" w:cs="Times New Roman"/>
          <w:sz w:val="24"/>
          <w:szCs w:val="24"/>
        </w:rPr>
        <w:t>1660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властей. Для </w:t>
      </w:r>
      <w:proofErr w:type="spellStart"/>
      <w:r w:rsidR="0026719D">
        <w:rPr>
          <w:rFonts w:ascii="Times New Roman" w:hAnsi="Times New Roman" w:cs="Times New Roman"/>
          <w:sz w:val="24"/>
          <w:szCs w:val="24"/>
        </w:rPr>
        <w:t>Большедолженковского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A4184E" w:rsidRDefault="00A4184E" w:rsidP="00A418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демографического развития будут определяться:</w:t>
      </w:r>
    </w:p>
    <w:p w:rsidR="00A4184E" w:rsidRDefault="00A4184E" w:rsidP="00A41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улучшением жилищных условий;</w:t>
      </w:r>
    </w:p>
    <w:p w:rsidR="00A4184E" w:rsidRDefault="00A4184E" w:rsidP="00A41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занятости населения.</w:t>
      </w:r>
    </w:p>
    <w:p w:rsidR="00A4184E" w:rsidRDefault="00A4184E" w:rsidP="00A41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улучшением инженерно-транспортной инфраструктуры.</w:t>
      </w:r>
    </w:p>
    <w:p w:rsidR="00A4184E" w:rsidRDefault="00A4184E" w:rsidP="00A41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совершенствованием социальной и культурно-бытовой инфраструктуры;</w:t>
      </w:r>
    </w:p>
    <w:p w:rsidR="00A4184E" w:rsidRDefault="00A4184E" w:rsidP="00A41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созданием более комфортной и экологически чистой среды;</w:t>
      </w: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A4184E" w:rsidRDefault="00A4184E" w:rsidP="00A4184E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транспортного спроса поселения,  объемов и характера передвижения населения и перевозок грузов по видам транспорта, имеющегося на территории поселения</w:t>
      </w:r>
    </w:p>
    <w:p w:rsidR="00A4184E" w:rsidRDefault="00A4184E" w:rsidP="00A4184E">
      <w:pPr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На период  2017 - 2034 годов уменьшение числа жителей не планируется,  но  увеличение уровня автомобилизации населения и притока 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Прогноз развития транспортной инфраструктуры по видам транспорта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расчетный срок внешние связи поселения будут обеспечиваться, как и в настоящее время, автомобильным  транспортом. 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принципами развития транспортной системы должны стать: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мобильности населения как фактора экономического развития.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 Прогноз развития дорожной сети поселения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развития транспортного комплекса на территории муниципального образования 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Прогноз  уровня автомобилизации, параметров дорожного движения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pStyle w:val="G0"/>
        <w:spacing w:before="0" w:after="0"/>
        <w:ind w:firstLine="709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lastRenderedPageBreak/>
        <w:t>На сегодняшний день уровень автомобилизации населения достаточно высок. Учитывая рост притока автомобильного транспорта  в весеннее- летний период, общее число автомобилей также увеличиться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184E" w:rsidRDefault="00A4184E" w:rsidP="00A4184E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Прогноз показателей безопасности дорожного движения</w:t>
      </w:r>
    </w:p>
    <w:p w:rsidR="00A4184E" w:rsidRDefault="00A4184E" w:rsidP="00A4184E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4184E" w:rsidRDefault="00A4184E" w:rsidP="00A4184E">
      <w:pPr>
        <w:pStyle w:val="a3"/>
        <w:spacing w:after="0"/>
        <w:ind w:left="0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Увеличение  дорожно-транспортных происшествий   связано 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A4184E" w:rsidRDefault="00A4184E" w:rsidP="00A4184E">
      <w:pPr>
        <w:pStyle w:val="a3"/>
        <w:spacing w:after="0"/>
        <w:ind w:left="0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Сокращение количества человек, погибших в результате дорожно-транспортных происшествий, 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A4184E" w:rsidRDefault="00A4184E" w:rsidP="00A4184E">
      <w:pPr>
        <w:pStyle w:val="a3"/>
        <w:spacing w:after="0"/>
        <w:ind w:left="0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Учитывая рост  общего 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 Укрупненная оценка принципиальных вариантов развития транспортной инфраструктуры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политике Европейского союза.</w:t>
      </w:r>
    </w:p>
    <w:p w:rsidR="00A4184E" w:rsidRDefault="00A4184E" w:rsidP="00A418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</w:t>
      </w:r>
      <w:r>
        <w:rPr>
          <w:rFonts w:ascii="Times New Roman" w:hAnsi="Times New Roman" w:cs="Times New Roman"/>
          <w:sz w:val="24"/>
          <w:szCs w:val="24"/>
        </w:rPr>
        <w:lastRenderedPageBreak/>
        <w:t>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A4184E" w:rsidRDefault="00A4184E" w:rsidP="00A4184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 Перечень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426"/>
        <w:gridCol w:w="1844"/>
        <w:gridCol w:w="1701"/>
        <w:gridCol w:w="1843"/>
        <w:gridCol w:w="1276"/>
        <w:gridCol w:w="1134"/>
        <w:gridCol w:w="2126"/>
      </w:tblGrid>
      <w:tr w:rsidR="00A4184E" w:rsidTr="00A4184E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snapToGrid w:val="0"/>
              <w:ind w:hanging="8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 на реализацию проекта</w:t>
            </w: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A4184E" w:rsidTr="00A4184E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0"/>
            </w:pPr>
            <w:r>
              <w:t>1</w:t>
            </w:r>
          </w:p>
          <w:p w:rsidR="00A4184E" w:rsidRDefault="00A41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 </w:t>
            </w: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811" w:rsidRDefault="00A4184E" w:rsidP="00BD68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территории </w:t>
            </w:r>
          </w:p>
          <w:p w:rsidR="00A4184E" w:rsidRDefault="00A4184E" w:rsidP="00BD68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МО,</w:t>
            </w:r>
          </w:p>
          <w:p w:rsidR="00A4184E" w:rsidRDefault="00A418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</w:tbl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lastRenderedPageBreak/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A4184E" w:rsidRDefault="00A4184E" w:rsidP="00A4184E">
      <w:pPr>
        <w:autoSpaceDE w:val="0"/>
        <w:autoSpaceDN w:val="0"/>
        <w:adjustRightInd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Общий объем финансирования по Программе   составляет всего – </w:t>
      </w:r>
      <w:r w:rsidR="00BD6811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млн.руб.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Финансово-экономическое обоснование программы на 201</w:t>
      </w:r>
      <w:r w:rsidR="00BD6811">
        <w:rPr>
          <w:rFonts w:ascii="Times New Roman" w:eastAsia="BatangChe" w:hAnsi="Times New Roman" w:cs="Times New Roman"/>
          <w:sz w:val="24"/>
          <w:szCs w:val="24"/>
        </w:rPr>
        <w:t>7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- 2031 годы будет производиться ежегодно, по мере уточнения утверждения инвестиционных программ и объемов финансирования.</w:t>
      </w:r>
    </w:p>
    <w:p w:rsidR="00A4184E" w:rsidRDefault="00A4184E" w:rsidP="00A4184E">
      <w:pPr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A4184E" w:rsidRDefault="00A4184E" w:rsidP="00A41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Оценка эффективности реализации Программы (далее – Оценка) осуществляется заказчиком Программы ежегодно в течение всего срока        ее реализации и по окончании ее реализации.</w:t>
      </w:r>
    </w:p>
    <w:p w:rsidR="00A4184E" w:rsidRDefault="00A4184E" w:rsidP="00A4184E">
      <w:pPr>
        <w:autoSpaceDE w:val="0"/>
        <w:snapToGri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 Источником информации для проведения оценки эффективности являются отчеты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Оценка осуществляется по следующим критериям: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 Достижение запланированных значений целевых показателей.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Степень достижениязапланированных результатов по каждому целевому показателю за отчетный период (И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)проводится путем сопоставления фактически достигнутого значения целевого показателя         за отчетный период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с его плановым значением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следующей формуле: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----------,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степень достижения планового значения целевого показателя                  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значение показателя, фактически достигнутое на конец отчетного периода;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плановое значение целевого показателя в отчетном периоде.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порядковый номер целевого показателя.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значение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A4184E" w:rsidRDefault="00A4184E" w:rsidP="00A4184E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∑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= ----------,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A4184E" w:rsidRDefault="00A4184E" w:rsidP="00A418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среднее значение достижения запланированных значений целевых показателей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∑ И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сумма оценок достижения плановых значений показателей                  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количество целевых показателей Программы, подлежащих выполнению в отчетном периоде.</w:t>
      </w:r>
    </w:p>
    <w:p w:rsidR="00A4184E" w:rsidRDefault="00A4184E" w:rsidP="00A4184E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Соответствие объемов фактического финансирования запланированным объемам.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к запланированному объему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следующей формуле:</w:t>
      </w:r>
    </w:p>
    <w:p w:rsidR="00A4184E" w:rsidRDefault="00A4184E" w:rsidP="00A418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Ф = -----------,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 – степень уровня финансирования мероприятий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фактический объем финансирования мероприятий Программы           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объем финансирования мероприятий, предусмотренный Программой на отчетный период.</w:t>
      </w:r>
    </w:p>
    <w:p w:rsidR="00A4184E" w:rsidRDefault="00A4184E" w:rsidP="00A418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Выполнение запланированных мероприятий.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Степень выполнения каждого запланированного мероприятия Программы за отчетный период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           к его запланированному значению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следующей формуле: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------------,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показатель степени выполнения мероприятия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фактически полученный результат по мероприятию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план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– предусмотренный Программой ожидаемый результат по мероприятию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порядковый номер мероприятия Программы.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 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∑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 = ------------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∑ 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сумма оценок </w:t>
      </w:r>
      <w:r>
        <w:rPr>
          <w:rFonts w:ascii="Times New Roman" w:hAnsi="Times New Roman" w:cs="Times New Roman"/>
          <w:sz w:val="24"/>
          <w:szCs w:val="24"/>
        </w:rPr>
        <w:t>степени выполнения запланированных мероприятий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– количество мероприятий Программы,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выполнению               в отчетном периоде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Э = --------</w:t>
      </w:r>
    </w:p>
    <w:p w:rsidR="00A4184E" w:rsidRDefault="00A4184E" w:rsidP="00A418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 – эффективность использования финансовых средств  Программы              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 – среднее значение степени выполнения запланированных мероприятий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 – степень уровня финансирования мероприятий Программы в отчетном периоде.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 </w:t>
      </w:r>
    </w:p>
    <w:p w:rsidR="00A4184E" w:rsidRDefault="00A4184E" w:rsidP="00A418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84E" w:rsidRDefault="00A4184E" w:rsidP="00A418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 =   И x Э</w:t>
      </w:r>
    </w:p>
    <w:p w:rsidR="00A4184E" w:rsidRDefault="00A4184E" w:rsidP="00A418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 – показатель эффективности реализации Программы за отчетный период; 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A4184E" w:rsidRDefault="00A4184E" w:rsidP="00A418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 – эффективность использования финансовых средств  Программы                 в отчетном периоде.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Вывод об эффективности реализации Программы формируется                        на основании значений П.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признается: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высоким уровнем эффективности, если значение П больше либо равно 0,9;</w:t>
      </w:r>
    </w:p>
    <w:p w:rsidR="00A4184E" w:rsidRDefault="00A4184E" w:rsidP="00A4184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 средним уровнем эффективности, если значение П меньше 0,9,                     но больше либо равно 0,7.</w:t>
      </w:r>
    </w:p>
    <w:p w:rsidR="00A4184E" w:rsidRDefault="00A4184E" w:rsidP="00A418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реализация Программы признается с низким уровнем эффективности.</w:t>
      </w: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4184E" w:rsidRDefault="00A4184E" w:rsidP="00A4184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</w:t>
      </w:r>
    </w:p>
    <w:p w:rsidR="00A4184E" w:rsidRDefault="00A4184E" w:rsidP="00A4184E">
      <w:pPr>
        <w:pStyle w:val="a3"/>
        <w:shd w:val="clear" w:color="auto" w:fill="FFFFFF"/>
        <w:spacing w:after="0"/>
        <w:ind w:left="0" w:right="6" w:firstLine="709"/>
        <w:jc w:val="both"/>
        <w:rPr>
          <w:rFonts w:eastAsia="Times New Roman"/>
          <w:kern w:val="0"/>
          <w:lang w:eastAsia="ru-RU"/>
        </w:rPr>
      </w:pPr>
    </w:p>
    <w:p w:rsidR="00A4184E" w:rsidRDefault="00A4184E" w:rsidP="00A4184E">
      <w:pPr>
        <w:pStyle w:val="a3"/>
        <w:shd w:val="clear" w:color="auto" w:fill="FFFFFF"/>
        <w:spacing w:after="0"/>
        <w:ind w:left="0" w:right="6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 xml:space="preserve">Для качественного функционирования и развития транспортной инфраструктуры муниципального образования </w:t>
      </w:r>
      <w:proofErr w:type="spellStart"/>
      <w:r w:rsidR="0026719D">
        <w:rPr>
          <w:rFonts w:eastAsia="Times New Roman"/>
          <w:kern w:val="0"/>
          <w:lang w:eastAsia="ru-RU"/>
        </w:rPr>
        <w:t>Большедолженковский</w:t>
      </w:r>
      <w:proofErr w:type="spellEnd"/>
      <w:r>
        <w:rPr>
          <w:rFonts w:eastAsia="Times New Roman"/>
          <w:kern w:val="0"/>
          <w:lang w:eastAsia="ru-RU"/>
        </w:rPr>
        <w:t xml:space="preserve">    сельсовет Октябрьского   района Курской области необходимо постоянно актуализировать и дополнять нормативно-правовую базу.</w:t>
      </w: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4184E">
          <w:pgSz w:w="11907" w:h="16840"/>
          <w:pgMar w:top="1134" w:right="567" w:bottom="709" w:left="1559" w:header="720" w:footer="266" w:gutter="0"/>
          <w:cols w:space="720"/>
        </w:sectPr>
      </w:pPr>
    </w:p>
    <w:p w:rsidR="00A4184E" w:rsidRDefault="00A4184E" w:rsidP="00A418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4E" w:rsidRDefault="00A4184E" w:rsidP="00A4184E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мероприятий Программы</w:t>
      </w:r>
    </w:p>
    <w:p w:rsidR="00A4184E" w:rsidRDefault="00A4184E" w:rsidP="00A4184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277"/>
        <w:gridCol w:w="910"/>
        <w:gridCol w:w="910"/>
        <w:gridCol w:w="910"/>
        <w:gridCol w:w="909"/>
        <w:gridCol w:w="910"/>
        <w:gridCol w:w="1822"/>
      </w:tblGrid>
      <w:tr w:rsidR="00A4184E" w:rsidTr="00A4184E">
        <w:trPr>
          <w:trHeight w:val="50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по годам, млн. рублей</w:t>
            </w:r>
          </w:p>
        </w:tc>
      </w:tr>
      <w:tr w:rsidR="00A4184E" w:rsidTr="00A4184E">
        <w:trPr>
          <w:trHeight w:val="35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E" w:rsidRDefault="00A41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2022-2034</w:t>
            </w:r>
          </w:p>
        </w:tc>
      </w:tr>
      <w:tr w:rsidR="00A4184E" w:rsidTr="00A4184E">
        <w:trPr>
          <w:trHeight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 </w:t>
            </w: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(строительство)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B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B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B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B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B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84E" w:rsidTr="00A4184E">
        <w:trPr>
          <w:trHeight w:val="5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 </w:t>
            </w:r>
          </w:p>
          <w:p w:rsidR="00A4184E" w:rsidRDefault="00A418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(содержание)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E" w:rsidRDefault="00A4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rPr>
          <w:rFonts w:ascii="Times New Roman" w:hAnsi="Times New Roman" w:cs="Times New Roman"/>
          <w:sz w:val="24"/>
          <w:szCs w:val="24"/>
        </w:rPr>
      </w:pPr>
    </w:p>
    <w:p w:rsidR="00557F96" w:rsidRDefault="00557F96"/>
    <w:sectPr w:rsidR="00557F96" w:rsidSect="00C0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75714"/>
    <w:multiLevelType w:val="multilevel"/>
    <w:tmpl w:val="08D2A7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24312A30"/>
    <w:multiLevelType w:val="multilevel"/>
    <w:tmpl w:val="4E5467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BB33D27"/>
    <w:multiLevelType w:val="hybridMultilevel"/>
    <w:tmpl w:val="477A8900"/>
    <w:lvl w:ilvl="0" w:tplc="FFFFFFFF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03A48"/>
    <w:multiLevelType w:val="multilevel"/>
    <w:tmpl w:val="583667C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61CD4A19"/>
    <w:multiLevelType w:val="hybridMultilevel"/>
    <w:tmpl w:val="FAEA7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FB41FD"/>
    <w:multiLevelType w:val="hybridMultilevel"/>
    <w:tmpl w:val="4D2880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D2C4392"/>
    <w:multiLevelType w:val="hybridMultilevel"/>
    <w:tmpl w:val="52F4B9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608"/>
    <w:rsid w:val="000B56C1"/>
    <w:rsid w:val="001F232E"/>
    <w:rsid w:val="0026719D"/>
    <w:rsid w:val="002F088A"/>
    <w:rsid w:val="0031569C"/>
    <w:rsid w:val="003C7310"/>
    <w:rsid w:val="004923AF"/>
    <w:rsid w:val="004B295F"/>
    <w:rsid w:val="00557F96"/>
    <w:rsid w:val="005A29A9"/>
    <w:rsid w:val="00616DC8"/>
    <w:rsid w:val="006E3C8C"/>
    <w:rsid w:val="0082397E"/>
    <w:rsid w:val="008506AA"/>
    <w:rsid w:val="008D65BD"/>
    <w:rsid w:val="00A4184E"/>
    <w:rsid w:val="00A43121"/>
    <w:rsid w:val="00B02C8F"/>
    <w:rsid w:val="00BD05AD"/>
    <w:rsid w:val="00BD6811"/>
    <w:rsid w:val="00C06E6A"/>
    <w:rsid w:val="00C35BCF"/>
    <w:rsid w:val="00C6716A"/>
    <w:rsid w:val="00C9115E"/>
    <w:rsid w:val="00CC1E19"/>
    <w:rsid w:val="00CD5926"/>
    <w:rsid w:val="00D82810"/>
    <w:rsid w:val="00DB0552"/>
    <w:rsid w:val="00E03A03"/>
    <w:rsid w:val="00E45FCF"/>
    <w:rsid w:val="00EE0608"/>
    <w:rsid w:val="00F9151A"/>
    <w:rsid w:val="00FA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autoRedefine/>
    <w:uiPriority w:val="34"/>
    <w:unhideWhenUsed/>
    <w:qFormat/>
    <w:rsid w:val="00A4184E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G">
    <w:name w:val="G_Обычный текст Знак"/>
    <w:link w:val="G0"/>
    <w:locked/>
    <w:rsid w:val="00A4184E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G0">
    <w:name w:val="G_Обычный текст"/>
    <w:basedOn w:val="a"/>
    <w:link w:val="G"/>
    <w:qFormat/>
    <w:rsid w:val="00A4184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styleId="a4">
    <w:name w:val="Balloon Text"/>
    <w:basedOn w:val="a"/>
    <w:link w:val="a5"/>
    <w:uiPriority w:val="99"/>
    <w:semiHidden/>
    <w:unhideWhenUsed/>
    <w:rsid w:val="0085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autoRedefine/>
    <w:uiPriority w:val="34"/>
    <w:unhideWhenUsed/>
    <w:qFormat/>
    <w:rsid w:val="00A4184E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G">
    <w:name w:val="G_Обычный текст Знак"/>
    <w:link w:val="G0"/>
    <w:locked/>
    <w:rsid w:val="00A4184E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G0">
    <w:name w:val="G_Обычный текст"/>
    <w:basedOn w:val="a"/>
    <w:link w:val="G"/>
    <w:qFormat/>
    <w:rsid w:val="00A4184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styleId="a4">
    <w:name w:val="Balloon Text"/>
    <w:basedOn w:val="a"/>
    <w:link w:val="a5"/>
    <w:uiPriority w:val="99"/>
    <w:semiHidden/>
    <w:unhideWhenUsed/>
    <w:rsid w:val="0085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693C-41DE-4335-A8FE-5ED719E5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admbol17</cp:lastModifiedBy>
  <cp:revision>2</cp:revision>
  <cp:lastPrinted>2017-12-07T06:04:00Z</cp:lastPrinted>
  <dcterms:created xsi:type="dcterms:W3CDTF">2018-01-15T05:52:00Z</dcterms:created>
  <dcterms:modified xsi:type="dcterms:W3CDTF">2018-01-15T05:52:00Z</dcterms:modified>
</cp:coreProperties>
</file>